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9C" w:rsidRPr="00F5416A" w:rsidRDefault="00372F35" w:rsidP="003832D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PROVVISORI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</w:p>
    <w:p w:rsidR="00F5416A" w:rsidRDefault="007E6F68" w:rsidP="007E6F6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108178700"/>
      <w:r>
        <w:rPr>
          <w:b/>
          <w:color w:val="FF0000"/>
          <w:kern w:val="0"/>
          <w:sz w:val="22"/>
          <w:szCs w:val="22"/>
          <w:lang w:eastAsia="zh-CN"/>
        </w:rPr>
        <w:t>CODI/24 MUSICA VOCALE DA CAMERA</w:t>
      </w:r>
      <w:bookmarkEnd w:id="0"/>
    </w:p>
    <w:p w:rsidR="007E6F68" w:rsidRPr="007E6F68" w:rsidRDefault="007E6F68" w:rsidP="007E6F6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7269A8" w:rsidRPr="007269A8" w:rsidRDefault="007269A8" w:rsidP="007E6F68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7269A8">
        <w:rPr>
          <w:b/>
          <w:kern w:val="0"/>
          <w:sz w:val="22"/>
          <w:szCs w:val="22"/>
          <w:lang w:eastAsia="zh-CN"/>
        </w:rPr>
        <w:t>PROCEDURA SELETTIVA PUBBLICA PER TITOLI PER</w:t>
      </w:r>
    </w:p>
    <w:p w:rsidR="00F5416A" w:rsidRDefault="007269A8" w:rsidP="007E6F68">
      <w:pPr>
        <w:widowControl/>
        <w:autoSpaceDN/>
        <w:spacing w:before="120"/>
        <w:ind w:right="284"/>
        <w:jc w:val="center"/>
        <w:textAlignment w:val="auto"/>
        <w:rPr>
          <w:kern w:val="0"/>
          <w:sz w:val="22"/>
          <w:szCs w:val="22"/>
          <w:lang w:eastAsia="zh-CN"/>
        </w:rPr>
      </w:pPr>
      <w:r w:rsidRPr="007269A8">
        <w:rPr>
          <w:b/>
          <w:kern w:val="0"/>
          <w:sz w:val="22"/>
          <w:szCs w:val="22"/>
          <w:lang w:eastAsia="zh-CN"/>
        </w:rPr>
        <w:t>LA FORMAZIONE DI GRADUATORIE D’ ISTITUTO A.A. 2022/2023 E A.A. 2023/2024</w:t>
      </w:r>
    </w:p>
    <w:p w:rsidR="00372F35" w:rsidRPr="00372F35" w:rsidRDefault="00143D9C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 xml:space="preserve">la Procedura </w:t>
      </w:r>
      <w:r w:rsidR="008B6C72">
        <w:rPr>
          <w:kern w:val="0"/>
          <w:sz w:val="22"/>
          <w:szCs w:val="22"/>
          <w:lang w:eastAsia="zh-CN"/>
        </w:rPr>
        <w:t>selettiva pubblica per titoli per la formazione di Graduatorie d’Istituto</w:t>
      </w:r>
      <w:r w:rsidR="00F5416A" w:rsidRPr="00F5416A">
        <w:rPr>
          <w:kern w:val="0"/>
          <w:sz w:val="22"/>
          <w:szCs w:val="22"/>
          <w:lang w:eastAsia="zh-CN"/>
        </w:rPr>
        <w:t xml:space="preserve"> per l’A.A. </w:t>
      </w:r>
      <w:r w:rsidR="008B6C72">
        <w:rPr>
          <w:kern w:val="0"/>
          <w:sz w:val="22"/>
          <w:szCs w:val="22"/>
          <w:lang w:eastAsia="zh-CN"/>
        </w:rPr>
        <w:t>2022/2023</w:t>
      </w:r>
      <w:r w:rsidR="00F5416A" w:rsidRPr="00F5416A">
        <w:rPr>
          <w:kern w:val="0"/>
          <w:sz w:val="22"/>
          <w:szCs w:val="22"/>
          <w:lang w:eastAsia="zh-CN"/>
        </w:rPr>
        <w:t xml:space="preserve"> e l’A.A. </w:t>
      </w:r>
      <w:r w:rsidR="008B6C72">
        <w:rPr>
          <w:kern w:val="0"/>
          <w:sz w:val="22"/>
          <w:szCs w:val="22"/>
          <w:lang w:eastAsia="zh-CN"/>
        </w:rPr>
        <w:t>2023/2024</w:t>
      </w:r>
      <w:r w:rsidR="00F5416A" w:rsidRPr="00F5416A">
        <w:rPr>
          <w:kern w:val="0"/>
          <w:sz w:val="22"/>
          <w:szCs w:val="22"/>
          <w:lang w:eastAsia="zh-CN"/>
        </w:rPr>
        <w:t xml:space="preserve"> (Prot. n. </w:t>
      </w:r>
      <w:r w:rsidR="008B6C72">
        <w:rPr>
          <w:kern w:val="0"/>
          <w:sz w:val="22"/>
          <w:szCs w:val="22"/>
          <w:lang w:eastAsia="zh-CN"/>
        </w:rPr>
        <w:t>2639</w:t>
      </w:r>
      <w:r w:rsidR="00F5416A" w:rsidRPr="00F5416A">
        <w:rPr>
          <w:kern w:val="0"/>
          <w:sz w:val="22"/>
          <w:szCs w:val="22"/>
          <w:lang w:eastAsia="zh-CN"/>
        </w:rPr>
        <w:t xml:space="preserve"> del </w:t>
      </w:r>
      <w:r w:rsidR="008B6C72">
        <w:rPr>
          <w:kern w:val="0"/>
          <w:sz w:val="22"/>
          <w:szCs w:val="22"/>
          <w:lang w:eastAsia="zh-CN"/>
        </w:rPr>
        <w:t>05/05/2022</w:t>
      </w:r>
      <w:r w:rsidR="00F5416A" w:rsidRPr="00F5416A">
        <w:rPr>
          <w:kern w:val="0"/>
          <w:sz w:val="22"/>
          <w:szCs w:val="22"/>
          <w:lang w:eastAsia="zh-CN"/>
        </w:rPr>
        <w:t>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924CD6" w:rsidRDefault="00372F35" w:rsidP="00074A6A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1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Hyun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Joo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Valente Valentina Stefania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86,50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Martinelli Silvia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Zanardi Patrizia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68,70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Coni Giuseppina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66,90</w:t>
            </w:r>
          </w:p>
        </w:tc>
      </w:tr>
      <w:tr w:rsidR="007E6F68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Mariano Claudia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Blessano Alfredo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Stanelyte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Jolanta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Camponovo</w:t>
            </w:r>
            <w:proofErr w:type="spellEnd"/>
            <w:r>
              <w:rPr>
                <w:b/>
                <w:bCs/>
              </w:rPr>
              <w:t xml:space="preserve"> Paola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Canzian Roberta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Portoghese Tiziana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Adamo Francesca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Coladonato</w:t>
            </w:r>
            <w:proofErr w:type="spellEnd"/>
            <w:r>
              <w:rPr>
                <w:b/>
                <w:bCs/>
              </w:rPr>
              <w:t xml:space="preserve"> Valentina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Colombera Selena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39,50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Pennesi Cinzia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Costa Gabriella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Bartoli Marina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Torresan</w:t>
            </w:r>
            <w:proofErr w:type="spellEnd"/>
            <w:r>
              <w:rPr>
                <w:b/>
                <w:bCs/>
              </w:rPr>
              <w:t xml:space="preserve"> Ilaria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28,50</w:t>
            </w:r>
          </w:p>
        </w:tc>
      </w:tr>
      <w:bookmarkEnd w:id="1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074A6A" w:rsidRDefault="00074A6A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C20B6B" w:rsidRPr="00A632F0" w:rsidRDefault="00A632F0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  <w:r w:rsidRPr="00A632F0">
        <w:rPr>
          <w:kern w:val="0"/>
          <w:sz w:val="22"/>
          <w:szCs w:val="22"/>
          <w:lang w:eastAsia="zh-CN"/>
        </w:rPr>
        <w:t>CANDIDATI NON IDONEI</w:t>
      </w:r>
    </w:p>
    <w:p w:rsidR="00C20B6B" w:rsidRPr="001A5BCA" w:rsidRDefault="00C20B6B" w:rsidP="00C20B6B">
      <w:pPr>
        <w:widowControl/>
        <w:autoSpaceDN/>
        <w:spacing w:line="276" w:lineRule="auto"/>
        <w:jc w:val="center"/>
        <w:textAlignment w:val="auto"/>
        <w:rPr>
          <w:kern w:val="0"/>
          <w:sz w:val="16"/>
          <w:szCs w:val="16"/>
          <w:lang w:eastAsia="zh-CN"/>
        </w:rPr>
      </w:pPr>
    </w:p>
    <w:p w:rsidR="003F18F4" w:rsidRDefault="007E6F68" w:rsidP="003F18F4">
      <w:pPr>
        <w:widowControl/>
        <w:autoSpaceDN/>
        <w:jc w:val="both"/>
        <w:textAlignment w:val="auto"/>
        <w:rPr>
          <w:kern w:val="0"/>
          <w:sz w:val="22"/>
          <w:szCs w:val="22"/>
          <w:lang w:eastAsia="zh-CN"/>
        </w:rPr>
      </w:pPr>
      <w:r w:rsidRPr="007E6F68">
        <w:rPr>
          <w:kern w:val="0"/>
          <w:sz w:val="22"/>
          <w:szCs w:val="22"/>
          <w:lang w:eastAsia="zh-CN"/>
        </w:rPr>
        <w:t>Andreoli Sofia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Balbo Elisa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Bartoli Beatrice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Billeri Maria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Binda Beatrice</w:t>
      </w:r>
      <w:r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7E6F68">
        <w:rPr>
          <w:kern w:val="0"/>
          <w:sz w:val="22"/>
          <w:szCs w:val="22"/>
          <w:lang w:eastAsia="zh-CN"/>
        </w:rPr>
        <w:t>Bovenzi</w:t>
      </w:r>
      <w:proofErr w:type="spellEnd"/>
      <w:r w:rsidRPr="007E6F68">
        <w:rPr>
          <w:kern w:val="0"/>
          <w:sz w:val="22"/>
          <w:szCs w:val="22"/>
          <w:lang w:eastAsia="zh-CN"/>
        </w:rPr>
        <w:t xml:space="preserve"> Gerardo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Brunello Chiara</w:t>
      </w:r>
      <w:r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7E6F68">
        <w:rPr>
          <w:kern w:val="0"/>
          <w:sz w:val="22"/>
          <w:szCs w:val="22"/>
          <w:lang w:eastAsia="zh-CN"/>
        </w:rPr>
        <w:t>Caligaris</w:t>
      </w:r>
      <w:proofErr w:type="spellEnd"/>
      <w:r w:rsidRPr="007E6F68">
        <w:rPr>
          <w:kern w:val="0"/>
          <w:sz w:val="22"/>
          <w:szCs w:val="22"/>
          <w:lang w:eastAsia="zh-CN"/>
        </w:rPr>
        <w:t xml:space="preserve"> Francesca</w:t>
      </w:r>
      <w:r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7E6F68">
        <w:rPr>
          <w:kern w:val="0"/>
          <w:sz w:val="22"/>
          <w:szCs w:val="22"/>
          <w:lang w:eastAsia="zh-CN"/>
        </w:rPr>
        <w:t>Caminada</w:t>
      </w:r>
      <w:proofErr w:type="spellEnd"/>
      <w:r w:rsidRPr="007E6F68">
        <w:rPr>
          <w:kern w:val="0"/>
          <w:sz w:val="22"/>
          <w:szCs w:val="22"/>
          <w:lang w:eastAsia="zh-CN"/>
        </w:rPr>
        <w:t xml:space="preserve"> Maria Eleonora</w:t>
      </w:r>
      <w:r>
        <w:rPr>
          <w:kern w:val="0"/>
          <w:sz w:val="22"/>
          <w:szCs w:val="22"/>
          <w:lang w:eastAsia="zh-CN"/>
        </w:rPr>
        <w:t>,</w:t>
      </w:r>
      <w:r w:rsidRPr="007E6F68">
        <w:t xml:space="preserve"> </w:t>
      </w:r>
      <w:r w:rsidRPr="007E6F68">
        <w:rPr>
          <w:kern w:val="0"/>
          <w:sz w:val="22"/>
          <w:szCs w:val="22"/>
          <w:lang w:eastAsia="zh-CN"/>
        </w:rPr>
        <w:t>Carlucci Maria Addolorata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Carnevale Federica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Carpignano Luisa Valeria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Cedrone Alessandro</w:t>
      </w:r>
      <w:r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7E6F68">
        <w:rPr>
          <w:kern w:val="0"/>
          <w:sz w:val="22"/>
          <w:szCs w:val="22"/>
          <w:lang w:eastAsia="zh-CN"/>
        </w:rPr>
        <w:t>Celadin</w:t>
      </w:r>
      <w:proofErr w:type="spellEnd"/>
      <w:r w:rsidRPr="007E6F68">
        <w:rPr>
          <w:kern w:val="0"/>
          <w:sz w:val="22"/>
          <w:szCs w:val="22"/>
          <w:lang w:eastAsia="zh-CN"/>
        </w:rPr>
        <w:t xml:space="preserve"> Silvia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Cervato Antonio</w:t>
      </w:r>
      <w:r>
        <w:rPr>
          <w:kern w:val="0"/>
          <w:sz w:val="22"/>
          <w:szCs w:val="22"/>
          <w:lang w:eastAsia="zh-CN"/>
        </w:rPr>
        <w:t xml:space="preserve">, </w:t>
      </w:r>
      <w:r w:rsidRPr="007E6F68">
        <w:rPr>
          <w:kern w:val="0"/>
          <w:sz w:val="22"/>
          <w:szCs w:val="22"/>
          <w:lang w:eastAsia="zh-CN"/>
        </w:rPr>
        <w:t>Cesar Monica</w:t>
      </w:r>
      <w:r>
        <w:rPr>
          <w:kern w:val="0"/>
          <w:sz w:val="22"/>
          <w:szCs w:val="22"/>
          <w:lang w:eastAsia="zh-CN"/>
        </w:rPr>
        <w:t xml:space="preserve">, </w:t>
      </w:r>
      <w:proofErr w:type="spellStart"/>
      <w:r>
        <w:rPr>
          <w:kern w:val="0"/>
          <w:sz w:val="22"/>
          <w:szCs w:val="22"/>
          <w:lang w:eastAsia="zh-CN"/>
        </w:rPr>
        <w:t>Cogato</w:t>
      </w:r>
      <w:proofErr w:type="spellEnd"/>
      <w:r>
        <w:rPr>
          <w:kern w:val="0"/>
          <w:sz w:val="22"/>
          <w:szCs w:val="22"/>
          <w:lang w:eastAsia="zh-CN"/>
        </w:rPr>
        <w:t xml:space="preserve"> Tommaso, </w:t>
      </w:r>
      <w:proofErr w:type="spellStart"/>
      <w:r w:rsidRPr="007E6F68">
        <w:rPr>
          <w:kern w:val="0"/>
          <w:sz w:val="22"/>
          <w:szCs w:val="22"/>
          <w:lang w:eastAsia="zh-CN"/>
        </w:rPr>
        <w:t>Colecchia</w:t>
      </w:r>
      <w:proofErr w:type="spellEnd"/>
    </w:p>
    <w:p w:rsidR="00074A6A" w:rsidRDefault="007E6F68" w:rsidP="003F18F4">
      <w:pPr>
        <w:widowControl/>
        <w:autoSpaceDN/>
        <w:jc w:val="both"/>
        <w:textAlignment w:val="auto"/>
        <w:rPr>
          <w:kern w:val="0"/>
          <w:sz w:val="22"/>
          <w:szCs w:val="22"/>
          <w:lang w:eastAsia="zh-CN"/>
        </w:rPr>
      </w:pPr>
      <w:r w:rsidRPr="007E6F68">
        <w:rPr>
          <w:kern w:val="0"/>
          <w:sz w:val="22"/>
          <w:szCs w:val="22"/>
          <w:lang w:eastAsia="zh-CN"/>
        </w:rPr>
        <w:t>Gabriella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7E6F68">
        <w:rPr>
          <w:kern w:val="0"/>
          <w:sz w:val="22"/>
          <w:szCs w:val="22"/>
          <w:lang w:eastAsia="zh-CN"/>
        </w:rPr>
        <w:t>Collia</w:t>
      </w:r>
      <w:proofErr w:type="spellEnd"/>
      <w:r w:rsidRPr="007E6F68">
        <w:rPr>
          <w:kern w:val="0"/>
          <w:sz w:val="22"/>
          <w:szCs w:val="22"/>
          <w:lang w:eastAsia="zh-CN"/>
        </w:rPr>
        <w:t xml:space="preserve"> Christian</w:t>
      </w:r>
      <w:r w:rsidR="003F18F4">
        <w:rPr>
          <w:kern w:val="0"/>
          <w:sz w:val="22"/>
          <w:szCs w:val="22"/>
          <w:lang w:eastAsia="zh-CN"/>
        </w:rPr>
        <w:t xml:space="preserve">, Converso Raffaello, </w:t>
      </w:r>
      <w:r w:rsidR="003F18F4" w:rsidRPr="003F18F4">
        <w:rPr>
          <w:kern w:val="0"/>
          <w:sz w:val="22"/>
          <w:szCs w:val="22"/>
          <w:lang w:eastAsia="zh-CN"/>
        </w:rPr>
        <w:t xml:space="preserve">Costa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Kurtz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Dos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Santos Luisa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De Nuccio Michela Sara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De Palma Alessio Walter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 xml:space="preserve">De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Prez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Eleonora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Demartis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Emanuele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Fiorillo Marta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Flotta Rosangela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Galeazzi Leonardo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Giangregorio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Davide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Guida Gianluca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Guidi Virginia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Ionadi Maria Teresa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Lo Bianco Maria Concetta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Migliore Brigida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Mirabelli Ricardo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Mobilio Stefania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Musella Gennaro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Nalivkina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Evgenia</w:t>
      </w:r>
      <w:proofErr w:type="spellEnd"/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Nuzzoli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Daniela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Pellegrini Annalisa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Picciano Francesco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Pivetta Francesca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Punziano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Leopoldo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Quarti Filippo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Rinero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Barbara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Romeo Andrea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Schiavoni Aurelio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Semenzato Pietro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Servian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Mateo</w:t>
      </w:r>
      <w:proofErr w:type="spellEnd"/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Sgambaro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Samuele Luigi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Talamo Giuseppe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Ticli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Livio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Tirotta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Alessandro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Tropea Francesco</w:t>
      </w:r>
      <w:r w:rsidR="003F18F4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3F18F4" w:rsidRPr="003F18F4">
        <w:rPr>
          <w:kern w:val="0"/>
          <w:sz w:val="22"/>
          <w:szCs w:val="22"/>
          <w:lang w:eastAsia="zh-CN"/>
        </w:rPr>
        <w:t>Vecerina</w:t>
      </w:r>
      <w:proofErr w:type="spellEnd"/>
      <w:r w:rsidR="003F18F4" w:rsidRPr="003F18F4">
        <w:rPr>
          <w:kern w:val="0"/>
          <w:sz w:val="22"/>
          <w:szCs w:val="22"/>
          <w:lang w:eastAsia="zh-CN"/>
        </w:rPr>
        <w:t xml:space="preserve"> Sergio Carlo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Visco Leslie Olga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Visentin Alessandra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Zanetti Ilaria</w:t>
      </w:r>
      <w:r w:rsidR="003F18F4">
        <w:rPr>
          <w:kern w:val="0"/>
          <w:sz w:val="22"/>
          <w:szCs w:val="22"/>
          <w:lang w:eastAsia="zh-CN"/>
        </w:rPr>
        <w:t xml:space="preserve">, </w:t>
      </w:r>
      <w:r w:rsidR="003F18F4" w:rsidRPr="003F18F4">
        <w:rPr>
          <w:kern w:val="0"/>
          <w:sz w:val="22"/>
          <w:szCs w:val="22"/>
          <w:lang w:eastAsia="zh-CN"/>
        </w:rPr>
        <w:t>Zanotto Denis</w:t>
      </w:r>
      <w:r w:rsidR="003F18F4">
        <w:rPr>
          <w:kern w:val="0"/>
          <w:sz w:val="22"/>
          <w:szCs w:val="22"/>
          <w:lang w:eastAsia="zh-CN"/>
        </w:rPr>
        <w:t>.</w:t>
      </w:r>
    </w:p>
    <w:p w:rsidR="007E6F68" w:rsidRDefault="007E6F68" w:rsidP="007E6F68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832DA" w:rsidRDefault="003832DA" w:rsidP="001C384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  <w:bookmarkStart w:id="2" w:name="_GoBack"/>
      <w:bookmarkEnd w:id="2"/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3832DA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7E6F68">
      <w:rPr>
        <w:b/>
      </w:rPr>
      <w:t>28 novembre</w:t>
    </w:r>
    <w:r w:rsidR="00A113AC">
      <w:rPr>
        <w:b/>
      </w:rPr>
      <w:t xml:space="preserve"> 2022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4A6A"/>
    <w:rsid w:val="0007532E"/>
    <w:rsid w:val="00090AC0"/>
    <w:rsid w:val="000C0905"/>
    <w:rsid w:val="000C1D44"/>
    <w:rsid w:val="000C3406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2B61"/>
    <w:rsid w:val="001A5BCA"/>
    <w:rsid w:val="001C384C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361226"/>
    <w:rsid w:val="00372F35"/>
    <w:rsid w:val="003773AB"/>
    <w:rsid w:val="003832DA"/>
    <w:rsid w:val="003F18F4"/>
    <w:rsid w:val="003F2175"/>
    <w:rsid w:val="00402418"/>
    <w:rsid w:val="004118DC"/>
    <w:rsid w:val="00421E29"/>
    <w:rsid w:val="004521EB"/>
    <w:rsid w:val="0047441F"/>
    <w:rsid w:val="00503C8C"/>
    <w:rsid w:val="005079D6"/>
    <w:rsid w:val="00514F57"/>
    <w:rsid w:val="005224BE"/>
    <w:rsid w:val="00535A47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F5C51"/>
    <w:rsid w:val="00704ED5"/>
    <w:rsid w:val="0070552D"/>
    <w:rsid w:val="007224C2"/>
    <w:rsid w:val="007269A8"/>
    <w:rsid w:val="00734B47"/>
    <w:rsid w:val="00746AE1"/>
    <w:rsid w:val="0077065F"/>
    <w:rsid w:val="00774454"/>
    <w:rsid w:val="00774C9B"/>
    <w:rsid w:val="007A69F7"/>
    <w:rsid w:val="007A7956"/>
    <w:rsid w:val="007B67EA"/>
    <w:rsid w:val="007D0A72"/>
    <w:rsid w:val="007E6F68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A6490"/>
    <w:rsid w:val="00A113AC"/>
    <w:rsid w:val="00A36E57"/>
    <w:rsid w:val="00A56629"/>
    <w:rsid w:val="00A632F0"/>
    <w:rsid w:val="00A8432C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FC4D4A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E0DD-E242-4008-995A-EA1AC59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4</cp:revision>
  <cp:lastPrinted>2021-09-30T08:23:00Z</cp:lastPrinted>
  <dcterms:created xsi:type="dcterms:W3CDTF">2022-11-25T10:35:00Z</dcterms:created>
  <dcterms:modified xsi:type="dcterms:W3CDTF">2022-11-25T10:52:00Z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