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87EF" w14:textId="6A44002E" w:rsidR="004D3040" w:rsidRPr="00C8309F" w:rsidRDefault="004D3040" w:rsidP="00C8309F">
      <w:pPr>
        <w:shd w:val="clear" w:color="auto" w:fill="D60093"/>
        <w:jc w:val="center"/>
        <w:rPr>
          <w:rFonts w:ascii="Perpetua" w:hAnsi="Perpetua"/>
          <w:b/>
        </w:rPr>
      </w:pPr>
      <w:r w:rsidRPr="00C8309F">
        <w:rPr>
          <w:rFonts w:ascii="Perpetua" w:hAnsi="Perpetua"/>
          <w:b/>
        </w:rPr>
        <w:t xml:space="preserve">MANIFESTAZIONE DI INTERESSE PROCEDURA SOTTO SOGLIA EX ART. 50, COMMA 1, LETT. </w:t>
      </w:r>
      <w:r w:rsidR="00CD3F2C">
        <w:rPr>
          <w:rFonts w:ascii="Perpetua" w:hAnsi="Perpetua"/>
          <w:b/>
        </w:rPr>
        <w:t>b</w:t>
      </w:r>
      <w:r w:rsidRPr="00C8309F">
        <w:rPr>
          <w:rFonts w:ascii="Perpetua" w:hAnsi="Perpetua"/>
          <w:b/>
        </w:rPr>
        <w:t>) DEL D.LGS. N. 36/2023</w:t>
      </w:r>
    </w:p>
    <w:p w14:paraId="528FB2F7" w14:textId="77777777" w:rsidR="004D3040" w:rsidRPr="00C8309F" w:rsidRDefault="004D3040" w:rsidP="00C8309F">
      <w:pPr>
        <w:jc w:val="center"/>
        <w:rPr>
          <w:rFonts w:ascii="Perpetua" w:hAnsi="Perpetua"/>
          <w:b/>
        </w:rPr>
      </w:pPr>
    </w:p>
    <w:p w14:paraId="6DD19115" w14:textId="77777777" w:rsidR="004D3040" w:rsidRPr="00912478" w:rsidRDefault="004D3040" w:rsidP="00D011DD">
      <w:pPr>
        <w:jc w:val="both"/>
        <w:rPr>
          <w:rFonts w:ascii="Perpetua" w:hAnsi="Perpetua"/>
          <w:sz w:val="2"/>
        </w:rPr>
      </w:pPr>
    </w:p>
    <w:p w14:paraId="1BB7CD4A" w14:textId="6D8A3E1D" w:rsidR="007667C5" w:rsidRPr="00D011DD" w:rsidRDefault="007667C5" w:rsidP="00D011DD">
      <w:pPr>
        <w:jc w:val="both"/>
        <w:rPr>
          <w:rFonts w:ascii="Perpetua" w:hAnsi="Perpetua"/>
        </w:rPr>
      </w:pPr>
      <w:r w:rsidRPr="00C8309F">
        <w:rPr>
          <w:rFonts w:ascii="Perpetua" w:hAnsi="Perpetua"/>
          <w:b/>
        </w:rPr>
        <w:t>OGGETTO:</w:t>
      </w:r>
      <w:r w:rsidRPr="00D011DD">
        <w:rPr>
          <w:rFonts w:ascii="Perpetua" w:hAnsi="Perpetua"/>
        </w:rPr>
        <w:t xml:space="preserve"> Procedura sotto soglia ai sensi dell’art. </w:t>
      </w:r>
      <w:r w:rsidR="00796093" w:rsidRPr="00D011DD">
        <w:rPr>
          <w:rFonts w:ascii="Perpetua" w:hAnsi="Perpetua"/>
        </w:rPr>
        <w:t>50</w:t>
      </w:r>
      <w:r w:rsidRPr="00D011DD">
        <w:rPr>
          <w:rFonts w:ascii="Perpetua" w:hAnsi="Perpetua"/>
        </w:rPr>
        <w:t xml:space="preserve">, comma </w:t>
      </w:r>
      <w:r w:rsidR="00796093" w:rsidRPr="00D011DD">
        <w:rPr>
          <w:rFonts w:ascii="Perpetua" w:hAnsi="Perpetua"/>
        </w:rPr>
        <w:t>1</w:t>
      </w:r>
      <w:r w:rsidRPr="00D011DD">
        <w:rPr>
          <w:rFonts w:ascii="Perpetua" w:hAnsi="Perpetua"/>
        </w:rPr>
        <w:t xml:space="preserve">, lett. </w:t>
      </w:r>
      <w:r w:rsidR="00CD3F2C">
        <w:rPr>
          <w:rFonts w:ascii="Perpetua" w:hAnsi="Perpetua"/>
        </w:rPr>
        <w:t>b</w:t>
      </w:r>
      <w:r w:rsidRPr="00D011DD">
        <w:rPr>
          <w:rFonts w:ascii="Perpetua" w:hAnsi="Perpetua"/>
        </w:rPr>
        <w:t xml:space="preserve">) del d.lgs. n. </w:t>
      </w:r>
      <w:r w:rsidR="00796093" w:rsidRPr="00D011DD">
        <w:rPr>
          <w:rFonts w:ascii="Perpetua" w:hAnsi="Perpetua"/>
        </w:rPr>
        <w:t>36</w:t>
      </w:r>
      <w:r w:rsidRPr="00D011DD">
        <w:rPr>
          <w:rFonts w:ascii="Perpetua" w:hAnsi="Perpetua"/>
        </w:rPr>
        <w:t>/20</w:t>
      </w:r>
      <w:r w:rsidR="00796093" w:rsidRPr="00D011DD">
        <w:rPr>
          <w:rFonts w:ascii="Perpetua" w:hAnsi="Perpetua"/>
        </w:rPr>
        <w:t>23</w:t>
      </w:r>
      <w:r w:rsidRPr="00D011DD">
        <w:rPr>
          <w:rFonts w:ascii="Perpetua" w:hAnsi="Perpetua"/>
        </w:rPr>
        <w:t xml:space="preserve">, con ricorso a </w:t>
      </w:r>
      <w:r w:rsidR="00C8309F">
        <w:rPr>
          <w:rFonts w:ascii="Perpetua" w:hAnsi="Perpetua"/>
        </w:rPr>
        <w:t>R</w:t>
      </w:r>
      <w:r w:rsidRPr="00D011DD">
        <w:rPr>
          <w:rFonts w:ascii="Perpetua" w:hAnsi="Perpetua"/>
        </w:rPr>
        <w:t>.d.</w:t>
      </w:r>
      <w:r w:rsidR="00C8309F">
        <w:rPr>
          <w:rFonts w:ascii="Perpetua" w:hAnsi="Perpetua"/>
        </w:rPr>
        <w:t>O</w:t>
      </w:r>
      <w:r w:rsidRPr="00D011DD">
        <w:rPr>
          <w:rFonts w:ascii="Perpetua" w:hAnsi="Perpetua"/>
        </w:rPr>
        <w:t xml:space="preserve">. del </w:t>
      </w:r>
      <w:r w:rsidR="004D3040" w:rsidRPr="00D011DD">
        <w:rPr>
          <w:rFonts w:ascii="Perpetua" w:hAnsi="Perpetua"/>
        </w:rPr>
        <w:t xml:space="preserve">mercato </w:t>
      </w:r>
      <w:r w:rsidRPr="00D011DD">
        <w:rPr>
          <w:rFonts w:ascii="Perpetua" w:hAnsi="Perpetua"/>
        </w:rPr>
        <w:t>elettronico della pubblica amministrazione, per l’affidamento</w:t>
      </w:r>
      <w:r w:rsidR="00CD3F2C">
        <w:rPr>
          <w:rFonts w:ascii="Perpetua" w:hAnsi="Perpetua"/>
        </w:rPr>
        <w:t xml:space="preserve"> diretto</w:t>
      </w:r>
      <w:r w:rsidRPr="00D011DD">
        <w:rPr>
          <w:rFonts w:ascii="Perpetua" w:hAnsi="Perpetua"/>
        </w:rPr>
        <w:t xml:space="preserve"> del </w:t>
      </w:r>
      <w:r w:rsidR="00E634AE" w:rsidRPr="00E634AE">
        <w:rPr>
          <w:rFonts w:ascii="Perpetua" w:hAnsi="Perpetua"/>
        </w:rPr>
        <w:t>servizio di pulizia delle sedi del Conservatorio “C. Pollini” e dell’Auditorium “Pollini”</w:t>
      </w:r>
      <w:r w:rsidR="00C8309F">
        <w:rPr>
          <w:rFonts w:ascii="Perpetua" w:hAnsi="Perpetua"/>
        </w:rPr>
        <w:t xml:space="preserve">. </w:t>
      </w:r>
      <w:r w:rsidR="00CD3F2C">
        <w:rPr>
          <w:rFonts w:ascii="Perpetua" w:hAnsi="Perpetua"/>
        </w:rPr>
        <w:t>Candidatura</w:t>
      </w:r>
      <w:r w:rsidRPr="00D011DD">
        <w:rPr>
          <w:rFonts w:ascii="Perpetua" w:hAnsi="Perpetua"/>
        </w:rPr>
        <w:t xml:space="preserve"> e dichiarazione del possesso dei requisiti</w:t>
      </w:r>
    </w:p>
    <w:p w14:paraId="754B50B1" w14:textId="77777777" w:rsidR="004D3040" w:rsidRPr="00D011DD" w:rsidRDefault="004D3040" w:rsidP="00D011DD">
      <w:pPr>
        <w:jc w:val="both"/>
        <w:rPr>
          <w:rFonts w:ascii="Perpetua" w:hAnsi="Perpetua"/>
        </w:rPr>
      </w:pPr>
    </w:p>
    <w:p w14:paraId="65639B12" w14:textId="58B21DC8" w:rsidR="007667C5" w:rsidRPr="00D011DD" w:rsidRDefault="007667C5" w:rsidP="00D011DD">
      <w:p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Il/La sottoscritto/a ......................</w:t>
      </w:r>
      <w:r w:rsidR="00C8309F">
        <w:rPr>
          <w:rFonts w:ascii="Perpetua" w:hAnsi="Perpetua"/>
        </w:rPr>
        <w:t>...................................................................</w:t>
      </w:r>
      <w:r w:rsidRPr="00D011DD">
        <w:rPr>
          <w:rFonts w:ascii="Perpetua" w:hAnsi="Perpetua"/>
        </w:rPr>
        <w:t xml:space="preserve"> nato/a a ..........................................</w:t>
      </w:r>
      <w:r w:rsidR="00C8309F">
        <w:rPr>
          <w:rFonts w:ascii="Perpetua" w:hAnsi="Perpetua"/>
        </w:rPr>
        <w:t>............................................................</w:t>
      </w:r>
      <w:r w:rsidR="004D3040" w:rsidRPr="00D011DD">
        <w:rPr>
          <w:rFonts w:ascii="Perpetua" w:hAnsi="Perpetua"/>
        </w:rPr>
        <w:t xml:space="preserve"> </w:t>
      </w:r>
      <w:r w:rsidRPr="00D011DD">
        <w:rPr>
          <w:rFonts w:ascii="Perpetua" w:hAnsi="Perpetua"/>
        </w:rPr>
        <w:t>il .............................</w:t>
      </w:r>
      <w:r w:rsidR="00C8309F">
        <w:rPr>
          <w:rFonts w:ascii="Perpetua" w:hAnsi="Perpetua"/>
        </w:rPr>
        <w:t>............</w:t>
      </w:r>
      <w:r w:rsidRPr="00D011DD">
        <w:rPr>
          <w:rFonts w:ascii="Perpetua" w:hAnsi="Perpetua"/>
        </w:rPr>
        <w:t xml:space="preserve"> C.F. </w:t>
      </w:r>
      <w:r w:rsidR="00C8309F">
        <w:rPr>
          <w:rFonts w:ascii="Perpetua" w:hAnsi="Perpetua"/>
        </w:rPr>
        <w:t>………………..</w:t>
      </w:r>
      <w:r w:rsidRPr="00D011DD">
        <w:rPr>
          <w:rFonts w:ascii="Perpetua" w:hAnsi="Perpetua"/>
        </w:rPr>
        <w:t>................</w:t>
      </w:r>
      <w:r w:rsidR="00C8309F">
        <w:rPr>
          <w:rFonts w:ascii="Perpetua" w:hAnsi="Perpetua"/>
        </w:rPr>
        <w:t>..</w:t>
      </w:r>
      <w:r w:rsidRPr="00D011DD">
        <w:rPr>
          <w:rFonts w:ascii="Perpetua" w:hAnsi="Perpetua"/>
        </w:rPr>
        <w:t xml:space="preserve">............. residente a </w:t>
      </w:r>
      <w:r w:rsidR="00C8309F">
        <w:rPr>
          <w:rFonts w:ascii="Perpetua" w:hAnsi="Perpetua"/>
        </w:rPr>
        <w:t>………</w:t>
      </w:r>
      <w:r w:rsidRPr="00D011DD">
        <w:rPr>
          <w:rFonts w:ascii="Perpetua" w:hAnsi="Perpetua"/>
        </w:rPr>
        <w:t>.................................</w:t>
      </w:r>
      <w:r w:rsidR="00C8309F">
        <w:rPr>
          <w:rFonts w:ascii="Perpetua" w:hAnsi="Perpetua"/>
        </w:rPr>
        <w:t xml:space="preserve"> </w:t>
      </w:r>
      <w:r w:rsidRPr="00D011DD">
        <w:rPr>
          <w:rFonts w:ascii="Perpetua" w:hAnsi="Perpetua"/>
        </w:rPr>
        <w:t>indirizzo</w:t>
      </w:r>
      <w:r w:rsidR="00C8309F">
        <w:rPr>
          <w:rFonts w:ascii="Perpetua" w:hAnsi="Perpetua"/>
        </w:rPr>
        <w:t>……………………………….…</w:t>
      </w:r>
      <w:r w:rsidRPr="00D011DD">
        <w:rPr>
          <w:rFonts w:ascii="Perpetua" w:hAnsi="Perpetua"/>
        </w:rPr>
        <w:t xml:space="preserve"> .....................................</w:t>
      </w:r>
      <w:r w:rsidR="00C8309F">
        <w:rPr>
          <w:rFonts w:ascii="Perpetua" w:hAnsi="Perpetua"/>
        </w:rPr>
        <w:t>....</w:t>
      </w:r>
      <w:r w:rsidRPr="00D011DD">
        <w:rPr>
          <w:rFonts w:ascii="Perpetua" w:hAnsi="Perpetua"/>
        </w:rPr>
        <w:t xml:space="preserve"> n. civico ....................... </w:t>
      </w:r>
      <w:r w:rsidR="00CD3F2C">
        <w:rPr>
          <w:rFonts w:ascii="Perpetua" w:hAnsi="Perpetua"/>
        </w:rPr>
        <w:t>CAP</w:t>
      </w:r>
      <w:r w:rsidRPr="00D011DD">
        <w:rPr>
          <w:rFonts w:ascii="Perpetua" w:hAnsi="Perpetua"/>
        </w:rPr>
        <w:t xml:space="preserve"> ................................</w:t>
      </w:r>
    </w:p>
    <w:p w14:paraId="3940FCA6" w14:textId="77777777" w:rsidR="004D3040" w:rsidRPr="00D011DD" w:rsidRDefault="004D3040" w:rsidP="00D011DD">
      <w:pPr>
        <w:jc w:val="both"/>
        <w:rPr>
          <w:rFonts w:ascii="Perpetua" w:hAnsi="Perpetua"/>
        </w:rPr>
      </w:pPr>
    </w:p>
    <w:p w14:paraId="0D29307E" w14:textId="77777777" w:rsidR="007667C5" w:rsidRPr="00D011DD" w:rsidRDefault="007667C5" w:rsidP="00C8309F">
      <w:pPr>
        <w:jc w:val="center"/>
        <w:rPr>
          <w:rFonts w:ascii="Perpetua" w:hAnsi="Perpetua"/>
        </w:rPr>
      </w:pPr>
      <w:r w:rsidRPr="00D011DD">
        <w:rPr>
          <w:rFonts w:ascii="Perpetua" w:hAnsi="Perpetua"/>
        </w:rPr>
        <w:t>CHIEDE</w:t>
      </w:r>
    </w:p>
    <w:p w14:paraId="0036107E" w14:textId="77777777" w:rsidR="004D3040" w:rsidRPr="00D011DD" w:rsidRDefault="004D3040" w:rsidP="00D011DD">
      <w:pPr>
        <w:jc w:val="both"/>
        <w:rPr>
          <w:rFonts w:ascii="Perpetua" w:hAnsi="Perpetua"/>
        </w:rPr>
      </w:pPr>
    </w:p>
    <w:p w14:paraId="35236686" w14:textId="33F943BD" w:rsidR="007667C5" w:rsidRPr="00D011DD" w:rsidRDefault="007667C5" w:rsidP="00D011DD">
      <w:pPr>
        <w:jc w:val="both"/>
        <w:rPr>
          <w:rFonts w:ascii="Perpetua" w:hAnsi="Perpetua"/>
        </w:rPr>
      </w:pPr>
      <w:r w:rsidRPr="00D011DD">
        <w:rPr>
          <w:rFonts w:ascii="Perpetua" w:hAnsi="Perpetua"/>
        </w:rPr>
        <w:t xml:space="preserve">di partecipare alla </w:t>
      </w:r>
      <w:r w:rsidR="00CD3F2C">
        <w:rPr>
          <w:rFonts w:ascii="Perpetua" w:hAnsi="Perpetua"/>
        </w:rPr>
        <w:t>selezione</w:t>
      </w:r>
      <w:r w:rsidRPr="00D011DD">
        <w:rPr>
          <w:rFonts w:ascii="Perpetua" w:hAnsi="Perpetua"/>
        </w:rPr>
        <w:t xml:space="preserve"> in oggetto.</w:t>
      </w:r>
    </w:p>
    <w:p w14:paraId="2A20F7BA" w14:textId="442D6563" w:rsidR="007667C5" w:rsidRPr="00D011DD" w:rsidRDefault="007667C5" w:rsidP="00D011DD">
      <w:p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A tal fine, allega l’autocertificazione mediante DGUE (Documento di gara unico europeo) e dichiara di essere abilitato/a al seguente bando del Mercato elettronico di Consip</w:t>
      </w:r>
      <w:r w:rsidR="00FC6279" w:rsidRPr="00FC6279">
        <w:rPr>
          <w:rFonts w:ascii="Perpetua" w:hAnsi="Perpetua"/>
        </w:rPr>
        <w:t>: 90910000-9 - Servizi di pulizia</w:t>
      </w:r>
      <w:r w:rsidR="00FC6279">
        <w:rPr>
          <w:rFonts w:ascii="Perpetua" w:hAnsi="Perpetua"/>
        </w:rPr>
        <w:t>.</w:t>
      </w:r>
    </w:p>
    <w:p w14:paraId="4DCC62A7" w14:textId="77777777" w:rsidR="007667C5" w:rsidRPr="00D011DD" w:rsidRDefault="007667C5" w:rsidP="00D011DD">
      <w:pPr>
        <w:jc w:val="both"/>
        <w:rPr>
          <w:rFonts w:ascii="Perpetua" w:hAnsi="Perpetua"/>
        </w:rPr>
      </w:pPr>
    </w:p>
    <w:p w14:paraId="34F17078" w14:textId="77777777" w:rsidR="007667C5" w:rsidRPr="00D011DD" w:rsidRDefault="007667C5" w:rsidP="00C8309F">
      <w:pPr>
        <w:jc w:val="center"/>
        <w:rPr>
          <w:rFonts w:ascii="Perpetua" w:hAnsi="Perpetua"/>
        </w:rPr>
      </w:pPr>
      <w:r w:rsidRPr="00D011DD">
        <w:rPr>
          <w:rFonts w:ascii="Perpetua" w:hAnsi="Perpetua"/>
        </w:rPr>
        <w:t>DICHIARA</w:t>
      </w:r>
    </w:p>
    <w:p w14:paraId="2D74703B" w14:textId="77777777" w:rsidR="00DB4BF1" w:rsidRPr="00D011DD" w:rsidRDefault="00DB4BF1" w:rsidP="00D011DD">
      <w:pPr>
        <w:jc w:val="both"/>
        <w:rPr>
          <w:rFonts w:ascii="Perpetua" w:hAnsi="Perpetua"/>
        </w:rPr>
      </w:pPr>
    </w:p>
    <w:p w14:paraId="67024998" w14:textId="77777777" w:rsidR="00DB4BF1" w:rsidRPr="00D011DD" w:rsidRDefault="00DB4BF1" w:rsidP="00C8309F">
      <w:pPr>
        <w:numPr>
          <w:ilvl w:val="0"/>
          <w:numId w:val="11"/>
        </w:num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che nei propri confronti non ricorrono le cause di esclusione contemplate dagli articoli dal 94 al 98 del d.lgs. n. 36/2023;</w:t>
      </w:r>
    </w:p>
    <w:p w14:paraId="5DCE34F8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di non aver reso false comunicazioni sociali di cui agli articoli 2621 e 2622 del codice civile;</w:t>
      </w:r>
    </w:p>
    <w:p w14:paraId="4AD2E563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>di non aver presentato nella procedura di gara in corso e negli affidamenti di subappalti documentazione o dichiarazioni non veritiere;</w:t>
      </w:r>
    </w:p>
    <w:p w14:paraId="17B6D1E5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5B9F0A3E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 xml:space="preserve">di essere </w:t>
      </w:r>
      <w:r w:rsidR="00C8309F">
        <w:rPr>
          <w:rFonts w:ascii="Times New Roman" w:hAnsi="Times New Roman" w:cs="Times New Roman"/>
        </w:rPr>
        <w:t>□</w:t>
      </w:r>
      <w:r w:rsidR="00C8309F">
        <w:rPr>
          <w:rFonts w:ascii="Perpetua" w:hAnsi="Perpetua"/>
        </w:rPr>
        <w:t xml:space="preserve"> /</w:t>
      </w:r>
      <w:r w:rsidRPr="00C8309F">
        <w:rPr>
          <w:rFonts w:ascii="Perpetua" w:hAnsi="Perpetua"/>
        </w:rPr>
        <w:t xml:space="preserve"> di non essere</w:t>
      </w:r>
      <w:r w:rsidR="00C8309F">
        <w:rPr>
          <w:rFonts w:ascii="Perpetua" w:hAnsi="Perpetua"/>
        </w:rPr>
        <w:t xml:space="preserve"> </w:t>
      </w:r>
      <w:r w:rsidR="00C8309F">
        <w:rPr>
          <w:rFonts w:ascii="Times New Roman" w:hAnsi="Times New Roman" w:cs="Times New Roman"/>
        </w:rPr>
        <w:t>□</w:t>
      </w:r>
      <w:r w:rsidRPr="00C8309F">
        <w:rPr>
          <w:rFonts w:ascii="Perpetua" w:hAnsi="Perpetua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7F58D45F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>di non essersi reso colpevole di gravi illeciti professionali, tali da rendere dubbia la sua integrità o affidabilità;</w:t>
      </w:r>
    </w:p>
    <w:p w14:paraId="0DD83747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>di non aver tentato di influenzare indebitamente il processo decisionale della stazione appaltante o di ottenere informazioni riservate a fini di proprio vantaggio;</w:t>
      </w:r>
    </w:p>
    <w:p w14:paraId="3ACD4E86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>di non aver fornito, anche per negligenza, informazioni false o fuorvianti suscettibili di influenzare le decisioni sull’esclusione, la selezione o l’aggiudicazione;</w:t>
      </w:r>
    </w:p>
    <w:p w14:paraId="714A3934" w14:textId="77777777" w:rsidR="00C8309F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>di non aver omesso le informazioni dovute ai fini del corretto svolgimento della procedura di selezione;</w:t>
      </w:r>
    </w:p>
    <w:p w14:paraId="47816784" w14:textId="77777777" w:rsidR="00051A48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C8309F">
        <w:rPr>
          <w:rFonts w:ascii="Perpetua" w:hAnsi="Perpetua"/>
        </w:rPr>
        <w:t>di non aver commesso significative o persistenti carenze nell’esecuzione di un precedente contratto di appalto che ne hanno causato la risoluzione per inadempimento ovvero la condanna al risarcimento del dan</w:t>
      </w:r>
      <w:r w:rsidR="00DB4BF1" w:rsidRPr="00C8309F">
        <w:rPr>
          <w:rFonts w:ascii="Perpetua" w:hAnsi="Perpetua"/>
        </w:rPr>
        <w:t>no o altre sanzioni comparabili;</w:t>
      </w:r>
    </w:p>
    <w:p w14:paraId="4A6D14E2" w14:textId="77777777" w:rsidR="00051A48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 xml:space="preserve">di non essere sottoposto a fallimento o di trovarsi in stato di liquidazione coatta o di concordato preventivo, </w:t>
      </w:r>
      <w:r w:rsidR="00DB4BF1" w:rsidRPr="00051A48">
        <w:rPr>
          <w:rFonts w:ascii="Perpetua" w:hAnsi="Perpetua"/>
        </w:rPr>
        <w:t>e che non</w:t>
      </w:r>
      <w:r w:rsidRPr="00051A48">
        <w:rPr>
          <w:rFonts w:ascii="Perpetua" w:hAnsi="Perpetua"/>
        </w:rPr>
        <w:t xml:space="preserve"> è in corso nei propri confronti un procedimento per la dichiarazione di una di tali situazioni;</w:t>
      </w:r>
    </w:p>
    <w:p w14:paraId="55C70B73" w14:textId="77777777" w:rsidR="00051A48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di non aver commesso grave inadempimento nei confronti di uno o più subappaltatori, riconosciuto o accertato con sentenza passata in giudicato;</w:t>
      </w:r>
    </w:p>
    <w:p w14:paraId="500F2374" w14:textId="77777777" w:rsidR="007667C5" w:rsidRPr="00051A48" w:rsidRDefault="007667C5" w:rsidP="00D011DD">
      <w:pPr>
        <w:numPr>
          <w:ilvl w:val="0"/>
          <w:numId w:val="11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 xml:space="preserve">di non essersi reso inottemperante agli obblighi relativi al pagamento delle imposte e tasse o dei contributi previdenziali, ancorché non definitivamente accertati, costituenti una grave violazione </w:t>
      </w:r>
      <w:r w:rsidR="00CD1D02" w:rsidRPr="00051A48">
        <w:rPr>
          <w:rFonts w:ascii="Perpetua" w:hAnsi="Perpetua"/>
        </w:rPr>
        <w:t>a norma di legge</w:t>
      </w:r>
      <w:r w:rsidRPr="00051A48">
        <w:rPr>
          <w:rFonts w:ascii="Perpetua" w:hAnsi="Perpetua"/>
        </w:rPr>
        <w:t>.</w:t>
      </w:r>
    </w:p>
    <w:p w14:paraId="6FCFE976" w14:textId="77777777" w:rsidR="00611EF1" w:rsidRPr="00D011DD" w:rsidRDefault="00611EF1" w:rsidP="00D011DD">
      <w:pPr>
        <w:jc w:val="both"/>
        <w:rPr>
          <w:rFonts w:ascii="Perpetua" w:hAnsi="Perpetua"/>
        </w:rPr>
      </w:pPr>
    </w:p>
    <w:p w14:paraId="0D0DBE58" w14:textId="0B1C5741" w:rsidR="00CD3F2C" w:rsidRPr="00051A48" w:rsidRDefault="00611EF1" w:rsidP="00CD3F2C">
      <w:pPr>
        <w:jc w:val="center"/>
        <w:rPr>
          <w:rFonts w:ascii="Perpetua" w:hAnsi="Perpetua"/>
          <w:b/>
        </w:rPr>
      </w:pPr>
      <w:r w:rsidRPr="00051A48">
        <w:rPr>
          <w:rFonts w:ascii="Perpetua" w:hAnsi="Perpetua"/>
          <w:b/>
        </w:rPr>
        <w:t xml:space="preserve">IMPEGNO DEL </w:t>
      </w:r>
      <w:r w:rsidR="00CD3F2C">
        <w:rPr>
          <w:rFonts w:ascii="Perpetua" w:hAnsi="Perpetua"/>
          <w:b/>
        </w:rPr>
        <w:t>PARTECIPANTE</w:t>
      </w:r>
    </w:p>
    <w:p w14:paraId="21D41AE9" w14:textId="77777777" w:rsidR="00611EF1" w:rsidRPr="00D011DD" w:rsidRDefault="00611EF1" w:rsidP="00D011DD">
      <w:pPr>
        <w:jc w:val="both"/>
        <w:rPr>
          <w:rFonts w:ascii="Perpetua" w:hAnsi="Perpetua"/>
        </w:rPr>
      </w:pPr>
    </w:p>
    <w:p w14:paraId="6119289F" w14:textId="77777777" w:rsidR="00611EF1" w:rsidRPr="00D011DD" w:rsidRDefault="00611EF1" w:rsidP="00D011DD">
      <w:p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In conformità a quanto previsto dall’art. 102 del d.lgs. 36/2023 il</w:t>
      </w:r>
      <w:r w:rsidR="00DB4BF1" w:rsidRPr="00D011DD">
        <w:rPr>
          <w:rFonts w:ascii="Perpetua" w:hAnsi="Perpetua"/>
        </w:rPr>
        <w:t xml:space="preserve"> concorrente assume</w:t>
      </w:r>
      <w:r w:rsidRPr="00D011DD">
        <w:rPr>
          <w:rFonts w:ascii="Perpetua" w:hAnsi="Perpetua"/>
        </w:rPr>
        <w:t xml:space="preserve"> i seguenti impegni:</w:t>
      </w:r>
    </w:p>
    <w:p w14:paraId="1D383CA5" w14:textId="77777777" w:rsidR="00051A48" w:rsidRDefault="00611EF1" w:rsidP="00D011DD">
      <w:pPr>
        <w:numPr>
          <w:ilvl w:val="0"/>
          <w:numId w:val="13"/>
        </w:num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garantire la stabilità occupazionale del personale impiegato;</w:t>
      </w:r>
    </w:p>
    <w:p w14:paraId="117B5A77" w14:textId="77777777" w:rsidR="00051A48" w:rsidRDefault="00611EF1" w:rsidP="00D011DD">
      <w:pPr>
        <w:numPr>
          <w:ilvl w:val="0"/>
          <w:numId w:val="13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garanti</w:t>
      </w:r>
      <w:r w:rsidR="00DB4BF1" w:rsidRPr="00051A48">
        <w:rPr>
          <w:rFonts w:ascii="Perpetua" w:hAnsi="Perpetua"/>
        </w:rPr>
        <w:t>r</w:t>
      </w:r>
      <w:r w:rsidRPr="00051A48">
        <w:rPr>
          <w:rFonts w:ascii="Perpetua" w:hAnsi="Perpetua"/>
        </w:rPr>
        <w:t xml:space="preserve">e l’applicazione dei contratti collettivi nazionali e territoriali di settore, tenendo conto, in relazione </w:t>
      </w:r>
      <w:r w:rsidRPr="00051A48">
        <w:rPr>
          <w:rFonts w:ascii="Perpetua" w:hAnsi="Perpetua"/>
        </w:rPr>
        <w:lastRenderedPageBreak/>
        <w:t>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444A3683" w14:textId="77777777" w:rsidR="00611EF1" w:rsidRPr="00051A48" w:rsidRDefault="00611EF1" w:rsidP="00D011DD">
      <w:pPr>
        <w:numPr>
          <w:ilvl w:val="0"/>
          <w:numId w:val="13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garantire le pari opportunità generazionali, di genere e di inclusione lavorativa per le persone con disabilità o svantaggiate.</w:t>
      </w:r>
    </w:p>
    <w:p w14:paraId="6E1A0AAA" w14:textId="77777777" w:rsidR="007667C5" w:rsidRPr="00D011DD" w:rsidRDefault="007667C5" w:rsidP="00D011DD">
      <w:pPr>
        <w:jc w:val="both"/>
        <w:rPr>
          <w:rFonts w:ascii="Perpetua" w:hAnsi="Perpetua"/>
        </w:rPr>
      </w:pPr>
    </w:p>
    <w:p w14:paraId="78181C1B" w14:textId="77777777" w:rsidR="007667C5" w:rsidRPr="00D011DD" w:rsidRDefault="007667C5" w:rsidP="00051A48">
      <w:pPr>
        <w:jc w:val="center"/>
        <w:rPr>
          <w:rFonts w:ascii="Perpetua" w:hAnsi="Perpetua"/>
        </w:rPr>
      </w:pPr>
      <w:r w:rsidRPr="00D011DD">
        <w:rPr>
          <w:rFonts w:ascii="Perpetua" w:hAnsi="Perpetua"/>
        </w:rPr>
        <w:t>Inoltre</w:t>
      </w:r>
    </w:p>
    <w:p w14:paraId="4FFB3DDB" w14:textId="77777777" w:rsidR="007667C5" w:rsidRPr="00D011DD" w:rsidRDefault="007667C5" w:rsidP="00051A48">
      <w:pPr>
        <w:jc w:val="center"/>
        <w:rPr>
          <w:rFonts w:ascii="Perpetua" w:hAnsi="Perpetua"/>
        </w:rPr>
      </w:pPr>
      <w:r w:rsidRPr="00D011DD">
        <w:rPr>
          <w:rFonts w:ascii="Perpetua" w:hAnsi="Perpetua"/>
        </w:rPr>
        <w:t>AI SENSI DELLA LEGGE 13 AGOSTO 2010, N. 136</w:t>
      </w:r>
    </w:p>
    <w:p w14:paraId="7480D2BF" w14:textId="77777777" w:rsidR="004D3040" w:rsidRPr="00D011DD" w:rsidRDefault="004D3040" w:rsidP="00D011DD">
      <w:pPr>
        <w:jc w:val="both"/>
        <w:rPr>
          <w:rFonts w:ascii="Perpetua" w:hAnsi="Perpetua"/>
        </w:rPr>
      </w:pPr>
    </w:p>
    <w:p w14:paraId="0D21E193" w14:textId="77777777" w:rsidR="007667C5" w:rsidRPr="00D011DD" w:rsidRDefault="007667C5" w:rsidP="00D011DD">
      <w:p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L’operatore economico si impegna a dare attuazione alle disposizioni di cui alla legge 13 agosto 2010, n. 136 in materia di tracciabilità dei flussi finanziari.</w:t>
      </w:r>
    </w:p>
    <w:p w14:paraId="67D7855D" w14:textId="77777777" w:rsidR="007667C5" w:rsidRPr="00D011DD" w:rsidRDefault="007667C5" w:rsidP="00D011DD">
      <w:p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Nello specifico si impegna a:</w:t>
      </w:r>
    </w:p>
    <w:p w14:paraId="52242D21" w14:textId="77777777" w:rsidR="00051A48" w:rsidRDefault="007667C5" w:rsidP="00D011DD">
      <w:pPr>
        <w:numPr>
          <w:ilvl w:val="0"/>
          <w:numId w:val="12"/>
        </w:num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0E43DDA" w14:textId="77777777" w:rsidR="00051A48" w:rsidRDefault="007667C5" w:rsidP="00D011DD">
      <w:pPr>
        <w:numPr>
          <w:ilvl w:val="0"/>
          <w:numId w:val="12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5F25BF7E" w14:textId="77777777" w:rsidR="00051A48" w:rsidRDefault="007667C5" w:rsidP="00D011DD">
      <w:pPr>
        <w:numPr>
          <w:ilvl w:val="0"/>
          <w:numId w:val="12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assicurare che ciascuna transazione riporti il codice identificativo della gara (CIG);</w:t>
      </w:r>
    </w:p>
    <w:p w14:paraId="463022CF" w14:textId="77777777" w:rsidR="007667C5" w:rsidRPr="00051A48" w:rsidRDefault="007667C5" w:rsidP="00D011DD">
      <w:pPr>
        <w:numPr>
          <w:ilvl w:val="0"/>
          <w:numId w:val="12"/>
        </w:numPr>
        <w:jc w:val="both"/>
        <w:rPr>
          <w:rFonts w:ascii="Perpetua" w:hAnsi="Perpetua"/>
        </w:rPr>
      </w:pPr>
      <w:r w:rsidRPr="00051A48">
        <w:rPr>
          <w:rFonts w:ascii="Perpetua" w:hAnsi="Perpetua"/>
        </w:rPr>
        <w:t xml:space="preserve">comunicare alla stazione appaltante, entro sette giorni dall’accensione dei conti correnti dedicati </w:t>
      </w:r>
      <w:r w:rsidR="00DB4BF1" w:rsidRPr="00051A48">
        <w:rPr>
          <w:rFonts w:ascii="Perpetua" w:hAnsi="Perpetua"/>
        </w:rPr>
        <w:t>a</w:t>
      </w:r>
      <w:r w:rsidRPr="00051A48">
        <w:rPr>
          <w:rFonts w:ascii="Perpetua" w:hAnsi="Perpetua"/>
        </w:rPr>
        <w:t>gli estremi identificativi degli stessi, le generalità e il codice fiscale delle persone delegate ad operare su di essi.</w:t>
      </w:r>
    </w:p>
    <w:p w14:paraId="3FB43777" w14:textId="77777777" w:rsidR="004D3040" w:rsidRPr="00D011DD" w:rsidRDefault="004D3040" w:rsidP="00D011DD">
      <w:pPr>
        <w:jc w:val="both"/>
        <w:rPr>
          <w:rFonts w:ascii="Perpetua" w:hAnsi="Perpetua"/>
        </w:rPr>
      </w:pPr>
    </w:p>
    <w:p w14:paraId="7FC0A904" w14:textId="77777777" w:rsidR="007667C5" w:rsidRPr="00D011DD" w:rsidRDefault="007667C5" w:rsidP="00D011DD">
      <w:pPr>
        <w:jc w:val="both"/>
        <w:rPr>
          <w:rFonts w:ascii="Perpetua" w:hAnsi="Perpetua"/>
        </w:rPr>
      </w:pPr>
      <w:r w:rsidRPr="00D011DD">
        <w:rPr>
          <w:rFonts w:ascii="Perpetua" w:hAnsi="Perpetua"/>
        </w:rPr>
        <w:t>………………………………………..</w:t>
      </w:r>
    </w:p>
    <w:p w14:paraId="1D210806" w14:textId="77777777" w:rsidR="007667C5" w:rsidRPr="00D011DD" w:rsidRDefault="00051A48" w:rsidP="00D011DD">
      <w:pPr>
        <w:jc w:val="both"/>
        <w:rPr>
          <w:rFonts w:ascii="Perpetua" w:hAnsi="Perpetua"/>
        </w:rPr>
      </w:pPr>
      <w:r>
        <w:rPr>
          <w:rFonts w:ascii="Perpetua" w:hAnsi="Perpetua"/>
        </w:rPr>
        <w:t xml:space="preserve">                       </w:t>
      </w:r>
      <w:r w:rsidR="007667C5" w:rsidRPr="00D011DD">
        <w:rPr>
          <w:rFonts w:ascii="Perpetua" w:hAnsi="Perpetua"/>
        </w:rPr>
        <w:t>Luogo e data</w:t>
      </w:r>
    </w:p>
    <w:p w14:paraId="173D948A" w14:textId="77777777" w:rsidR="00051A48" w:rsidRDefault="00051A48" w:rsidP="00051A48">
      <w:pPr>
        <w:ind w:left="2832"/>
        <w:jc w:val="both"/>
        <w:rPr>
          <w:rFonts w:ascii="Perpetua" w:hAnsi="Perpetua"/>
        </w:rPr>
      </w:pPr>
    </w:p>
    <w:p w14:paraId="30783B1D" w14:textId="77777777" w:rsidR="00051A48" w:rsidRDefault="00051A48" w:rsidP="00051A48">
      <w:pPr>
        <w:ind w:left="2832"/>
        <w:jc w:val="both"/>
        <w:rPr>
          <w:rFonts w:ascii="Perpetua" w:hAnsi="Perpetua"/>
        </w:rPr>
      </w:pPr>
    </w:p>
    <w:p w14:paraId="0F809E3B" w14:textId="77777777" w:rsidR="007667C5" w:rsidRPr="00D011DD" w:rsidRDefault="007667C5" w:rsidP="00051A48">
      <w:pPr>
        <w:ind w:left="2832"/>
        <w:jc w:val="both"/>
        <w:rPr>
          <w:rFonts w:ascii="Perpetua" w:hAnsi="Perpetua"/>
        </w:rPr>
      </w:pPr>
      <w:r w:rsidRPr="00D011DD">
        <w:rPr>
          <w:rFonts w:ascii="Perpetua" w:hAnsi="Perpetua"/>
        </w:rPr>
        <w:t>……………………………………........….</w:t>
      </w:r>
    </w:p>
    <w:p w14:paraId="5442F6FA" w14:textId="77777777" w:rsidR="007667C5" w:rsidRPr="00D011DD" w:rsidRDefault="00051A48" w:rsidP="00051A48">
      <w:pPr>
        <w:ind w:left="2832"/>
        <w:jc w:val="both"/>
        <w:rPr>
          <w:rFonts w:ascii="Perpetua" w:hAnsi="Perpetua"/>
        </w:rPr>
      </w:pPr>
      <w:r>
        <w:rPr>
          <w:rFonts w:ascii="Perpetua" w:hAnsi="Perpetua"/>
        </w:rPr>
        <w:t xml:space="preserve">                  </w:t>
      </w:r>
      <w:r w:rsidR="007667C5" w:rsidRPr="00D011DD">
        <w:rPr>
          <w:rFonts w:ascii="Perpetua" w:hAnsi="Perpetua"/>
        </w:rPr>
        <w:t>FIRMATO DIGITALMENTE</w:t>
      </w:r>
    </w:p>
    <w:p w14:paraId="2809C1D8" w14:textId="77777777" w:rsidR="004D3040" w:rsidRPr="00D011DD" w:rsidRDefault="004D3040" w:rsidP="00D011DD">
      <w:pPr>
        <w:jc w:val="both"/>
        <w:rPr>
          <w:rFonts w:ascii="Perpetua" w:hAnsi="Perpetua"/>
        </w:rPr>
      </w:pPr>
    </w:p>
    <w:p w14:paraId="195E39F6" w14:textId="77777777" w:rsidR="007667C5" w:rsidRPr="00051A48" w:rsidRDefault="007667C5" w:rsidP="00051A48">
      <w:pPr>
        <w:jc w:val="center"/>
        <w:rPr>
          <w:rFonts w:ascii="Perpetua" w:hAnsi="Perpetua"/>
          <w:b/>
        </w:rPr>
      </w:pPr>
      <w:r w:rsidRPr="00051A48">
        <w:rPr>
          <w:rFonts w:ascii="Perpetua" w:hAnsi="Perpetua"/>
          <w:b/>
        </w:rPr>
        <w:t>RISERVATEZZA</w:t>
      </w:r>
    </w:p>
    <w:p w14:paraId="4EE25893" w14:textId="77777777" w:rsidR="007667C5" w:rsidRPr="00D011DD" w:rsidRDefault="007667C5" w:rsidP="00D011DD">
      <w:pPr>
        <w:jc w:val="both"/>
        <w:rPr>
          <w:rFonts w:ascii="Perpetua" w:hAnsi="Perpetua"/>
        </w:rPr>
      </w:pPr>
    </w:p>
    <w:p w14:paraId="5C6CE0CF" w14:textId="77777777" w:rsidR="007667C5" w:rsidRPr="00D011DD" w:rsidRDefault="00051A48" w:rsidP="00D011DD">
      <w:pPr>
        <w:jc w:val="both"/>
        <w:rPr>
          <w:rFonts w:ascii="Perpetua" w:hAnsi="Perpetua"/>
        </w:rPr>
      </w:pPr>
      <w:r>
        <w:rPr>
          <w:rFonts w:ascii="Perpetua" w:hAnsi="Perpetua"/>
        </w:rPr>
        <w:t>Con</w:t>
      </w:r>
      <w:r w:rsidR="007667C5" w:rsidRPr="00D011DD">
        <w:rPr>
          <w:rFonts w:ascii="Perpetua" w:hAnsi="Perpetua"/>
        </w:rPr>
        <w:t xml:space="preserve"> riferimento all’art. 13 del regolamento (UE) 2016/679 del Parlamento europeo e del Consiglio del 27 aprile 2016 relativo alla protezione delle persone fisiche con riguardo al trattamento dei dati personali, si precisa che:</w:t>
      </w:r>
    </w:p>
    <w:p w14:paraId="57F94422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a) titolare del trattamento è il Conservatorio di Musica “C. Pollini”, con sede legale in Via Eremitani n. 18 – 35121 (PD); i relativi dati di contatto sono i seguenti: PEC conservatorio.pd@legalmail.it, tel. 049/8750648;</w:t>
      </w:r>
    </w:p>
    <w:p w14:paraId="10B7AB84" w14:textId="321DF5D4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 xml:space="preserve">b) il Responsabile della protezione dei dati Data Protection Officer (RPD-DPO) è la società </w:t>
      </w:r>
      <w:r w:rsidR="00CD3F2C">
        <w:rPr>
          <w:rFonts w:ascii="Perpetua" w:hAnsi="Perpetua"/>
        </w:rPr>
        <w:t>DPO Italia</w:t>
      </w:r>
      <w:r w:rsidRPr="00051A48">
        <w:rPr>
          <w:rFonts w:ascii="Perpetua" w:hAnsi="Perpetua"/>
        </w:rPr>
        <w:t xml:space="preserve"> S.r.l., con sede in via Pacinotti 13, 39100 a Bolzano (BZ); i dati di contatto sono i seguenti: PEC dpo@pec.brennercom.net, tel. 0471/920141;</w:t>
      </w:r>
    </w:p>
    <w:p w14:paraId="713B8E4A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c) il conferimento dei dati costituisce un obbligo legale necessario per la partecipazione alla gara e l’eventuale rifiuto a rispondere comporta l’esclusione dal procedimento in oggetto;</w:t>
      </w:r>
    </w:p>
    <w:p w14:paraId="14CE9496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d) i dati raccolti saranno unicamente quelli strettamente indispensabili all’esecuzione della prestazione richiesta e gli stessi verranno raccolti con logiche strettamente correlate alle finalità perseguite;</w:t>
      </w:r>
    </w:p>
    <w:p w14:paraId="542700F4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d) le finalità e le modalità di trattamento (prevalentemente informatiche e telematiche) cui sono destinati i dati raccolti ineriscono al procedimento in oggetto;</w:t>
      </w:r>
    </w:p>
    <w:p w14:paraId="775C6EE6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e) l’interessato al trattamento ha i diritti di cui all’art. 13, comma 2, lett. b), tra cui quello di chiedere al titolare del trattamento (sopra citato) l’accesso ai dati personali e la relativa rettifica;</w:t>
      </w:r>
    </w:p>
    <w:p w14:paraId="30175ABA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 xml:space="preserve">f) i dati saranno trattati esclusivamente dal personale e da collaboratori del Conservatorio di Musica “C. Pollini” implicati nel procedimento, o dai soggetti espressamente nominati come responsabili del trattamento. Inoltre, potranno essere comunicati a: i concorrenti che partecipano alla gara, ogni altro soggetto che abbia interesse ai sensi del d.lgs. n. 36/2023 e della legge n. 241/1990, i soggetti destinatari delle comunicazioni previste dalla legge in materia di contratti pubblici, </w:t>
      </w:r>
      <w:r w:rsidRPr="00051A48">
        <w:rPr>
          <w:rFonts w:ascii="Perpetua" w:hAnsi="Perpetua"/>
        </w:rPr>
        <w:lastRenderedPageBreak/>
        <w:t>gli organi dell’autorità giudiziaria. Al di fuori delle ipotesi summenzionate, i dati non saranno comunicati a terzi, né diffusi, eccetto i casi previsti dal diritto nazionale o dell’Unione europea;</w:t>
      </w:r>
    </w:p>
    <w:p w14:paraId="0B005E13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g) 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825C3D7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h) il Conservatorio si impegna a rispettare il carattere riservato delle informazioni fornite e a trattare tutti i dati solo per le finalità connesse e strumentali alla procedura e alla prestazione contrattuale;</w:t>
      </w:r>
    </w:p>
    <w:p w14:paraId="4BD6C6C7" w14:textId="77777777" w:rsidR="00051A48" w:rsidRPr="00051A48" w:rsidRDefault="00051A48" w:rsidP="00051A48">
      <w:pPr>
        <w:jc w:val="both"/>
        <w:rPr>
          <w:rFonts w:ascii="Perpetua" w:hAnsi="Perpetua"/>
        </w:rPr>
      </w:pPr>
      <w:r w:rsidRPr="00051A48">
        <w:rPr>
          <w:rFonts w:ascii="Perpetua" w:hAnsi="Perpetua"/>
        </w:rPr>
        <w:t>i) contro il trattamento dei dati è possibile proporre reclamo al Garante della privacy, avente sede in Piazza Venezia, n. 11, 00187, Roma – Italia, in conformità con le procedure stabilite dall’art. 57, paragrafo 1, lettera f) del regolamento (UE) 2016/679.</w:t>
      </w:r>
    </w:p>
    <w:p w14:paraId="09949890" w14:textId="77777777" w:rsidR="00051A48" w:rsidRPr="00051A48" w:rsidRDefault="00051A48" w:rsidP="00051A48">
      <w:pPr>
        <w:jc w:val="both"/>
        <w:rPr>
          <w:rFonts w:ascii="Perpetua" w:hAnsi="Perpetua"/>
        </w:rPr>
      </w:pPr>
    </w:p>
    <w:p w14:paraId="24AD7EBE" w14:textId="77777777" w:rsidR="007667C5" w:rsidRPr="00D011DD" w:rsidRDefault="007667C5" w:rsidP="00D011DD">
      <w:pPr>
        <w:jc w:val="both"/>
        <w:rPr>
          <w:rFonts w:ascii="Perpetua" w:hAnsi="Perpetua"/>
        </w:rPr>
      </w:pPr>
    </w:p>
    <w:p w14:paraId="2EE3FBDE" w14:textId="77777777" w:rsidR="00D9028C" w:rsidRPr="00D011DD" w:rsidRDefault="00D9028C" w:rsidP="00D011DD">
      <w:pPr>
        <w:jc w:val="both"/>
        <w:rPr>
          <w:rFonts w:ascii="Perpetua" w:hAnsi="Perpetua"/>
        </w:rPr>
      </w:pPr>
    </w:p>
    <w:sectPr w:rsidR="00D9028C" w:rsidRPr="00D011DD" w:rsidSect="00C830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2A89" w14:textId="77777777" w:rsidR="00D2722F" w:rsidRDefault="00D2722F" w:rsidP="00C8309F">
      <w:r>
        <w:separator/>
      </w:r>
    </w:p>
  </w:endnote>
  <w:endnote w:type="continuationSeparator" w:id="0">
    <w:p w14:paraId="72F16B5B" w14:textId="77777777" w:rsidR="00D2722F" w:rsidRDefault="00D2722F" w:rsidP="00C8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27B5" w14:textId="77777777" w:rsidR="00D2722F" w:rsidRDefault="00D2722F" w:rsidP="00C8309F">
      <w:r>
        <w:separator/>
      </w:r>
    </w:p>
  </w:footnote>
  <w:footnote w:type="continuationSeparator" w:id="0">
    <w:p w14:paraId="6B8DB210" w14:textId="77777777" w:rsidR="00D2722F" w:rsidRDefault="00D2722F" w:rsidP="00C8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C844" w14:textId="68315F67" w:rsidR="00C8309F" w:rsidRDefault="00CD3F2C">
    <w:pPr>
      <w:pStyle w:val="Intestazione"/>
    </w:pPr>
    <w:r>
      <w:rPr>
        <w:noProof/>
      </w:rPr>
      <w:drawing>
        <wp:inline distT="0" distB="0" distL="0" distR="0" wp14:anchorId="56A837C4" wp14:editId="781F69F9">
          <wp:extent cx="838200" cy="790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DACC6" w14:textId="77777777" w:rsidR="00DA61E8" w:rsidRPr="00DA61E8" w:rsidRDefault="00DA61E8" w:rsidP="00DA61E8">
    <w:pPr>
      <w:pStyle w:val="Intestazione"/>
      <w:ind w:left="8496"/>
      <w:rPr>
        <w:sz w:val="16"/>
      </w:rPr>
    </w:pPr>
    <w:r w:rsidRPr="00DA61E8">
      <w:rPr>
        <w:sz w:val="16"/>
      </w:rPr>
      <w:t>ALLEGATO A</w:t>
    </w:r>
  </w:p>
  <w:p w14:paraId="2939FA21" w14:textId="77777777" w:rsidR="00C8309F" w:rsidRDefault="00C830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1526184A"/>
    <w:multiLevelType w:val="hybridMultilevel"/>
    <w:tmpl w:val="353EE63A"/>
    <w:lvl w:ilvl="0" w:tplc="1F600F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49423213"/>
    <w:multiLevelType w:val="hybridMultilevel"/>
    <w:tmpl w:val="448C3C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1951"/>
    <w:multiLevelType w:val="hybridMultilevel"/>
    <w:tmpl w:val="D45ED9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2D50CD5"/>
    <w:multiLevelType w:val="hybridMultilevel"/>
    <w:tmpl w:val="20CC9A56"/>
    <w:lvl w:ilvl="0" w:tplc="10B8E664">
      <w:numFmt w:val="bullet"/>
      <w:lvlText w:val="-"/>
      <w:lvlJc w:val="left"/>
      <w:pPr>
        <w:ind w:left="360" w:hanging="360"/>
      </w:pPr>
      <w:rPr>
        <w:rFonts w:ascii="Perpetua" w:eastAsia="New Aster LT Std" w:hAnsi="Perpetua" w:cs="New Aster LT St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066C2E"/>
    <w:multiLevelType w:val="hybridMultilevel"/>
    <w:tmpl w:val="6A0476DC"/>
    <w:lvl w:ilvl="0" w:tplc="359C01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7C7002"/>
    <w:multiLevelType w:val="hybridMultilevel"/>
    <w:tmpl w:val="8B42CA2E"/>
    <w:lvl w:ilvl="0" w:tplc="C332D9D0">
      <w:start w:val="1"/>
      <w:numFmt w:val="lowerLetter"/>
      <w:lvlText w:val="%1)"/>
      <w:lvlJc w:val="left"/>
      <w:pPr>
        <w:ind w:left="360" w:hanging="360"/>
      </w:pPr>
      <w:rPr>
        <w:rFonts w:ascii="Perpetua" w:eastAsia="New Aster LT Std" w:hAnsi="Perpetua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526DA2"/>
    <w:multiLevelType w:val="multilevel"/>
    <w:tmpl w:val="3E98D9E2"/>
    <w:lvl w:ilvl="0">
      <w:start w:val="1"/>
      <w:numFmt w:val="decimal"/>
      <w:pStyle w:val="SPA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C9050BD"/>
    <w:multiLevelType w:val="multilevel"/>
    <w:tmpl w:val="40E4B7F2"/>
    <w:lvl w:ilvl="0">
      <w:start w:val="1"/>
      <w:numFmt w:val="decimal"/>
      <w:pStyle w:val="circolare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3549488">
    <w:abstractNumId w:val="8"/>
  </w:num>
  <w:num w:numId="2" w16cid:durableId="1902862121">
    <w:abstractNumId w:val="11"/>
  </w:num>
  <w:num w:numId="3" w16cid:durableId="1751197850">
    <w:abstractNumId w:val="2"/>
  </w:num>
  <w:num w:numId="4" w16cid:durableId="1203398372">
    <w:abstractNumId w:val="10"/>
  </w:num>
  <w:num w:numId="5" w16cid:durableId="17896364">
    <w:abstractNumId w:val="2"/>
  </w:num>
  <w:num w:numId="6" w16cid:durableId="1766536215">
    <w:abstractNumId w:val="12"/>
  </w:num>
  <w:num w:numId="7" w16cid:durableId="396049327">
    <w:abstractNumId w:val="3"/>
  </w:num>
  <w:num w:numId="8" w16cid:durableId="1758794405">
    <w:abstractNumId w:val="1"/>
  </w:num>
  <w:num w:numId="9" w16cid:durableId="1956213503">
    <w:abstractNumId w:val="6"/>
  </w:num>
  <w:num w:numId="10" w16cid:durableId="39323677">
    <w:abstractNumId w:val="0"/>
  </w:num>
  <w:num w:numId="11" w16cid:durableId="1646352911">
    <w:abstractNumId w:val="7"/>
  </w:num>
  <w:num w:numId="12" w16cid:durableId="846866438">
    <w:abstractNumId w:val="9"/>
  </w:num>
  <w:num w:numId="13" w16cid:durableId="983268471">
    <w:abstractNumId w:val="5"/>
  </w:num>
  <w:num w:numId="14" w16cid:durableId="111679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C5"/>
    <w:rsid w:val="000313E6"/>
    <w:rsid w:val="00051A48"/>
    <w:rsid w:val="00096842"/>
    <w:rsid w:val="00130D03"/>
    <w:rsid w:val="001F305C"/>
    <w:rsid w:val="004D3040"/>
    <w:rsid w:val="00611EF1"/>
    <w:rsid w:val="0073630E"/>
    <w:rsid w:val="007667C5"/>
    <w:rsid w:val="00796093"/>
    <w:rsid w:val="007C2B88"/>
    <w:rsid w:val="007D5642"/>
    <w:rsid w:val="008B5D39"/>
    <w:rsid w:val="00912478"/>
    <w:rsid w:val="009F5F7A"/>
    <w:rsid w:val="00B22221"/>
    <w:rsid w:val="00BB3C7B"/>
    <w:rsid w:val="00BF472E"/>
    <w:rsid w:val="00C8309F"/>
    <w:rsid w:val="00C83728"/>
    <w:rsid w:val="00CD1D02"/>
    <w:rsid w:val="00CD3F2C"/>
    <w:rsid w:val="00D011DD"/>
    <w:rsid w:val="00D2722F"/>
    <w:rsid w:val="00D761DC"/>
    <w:rsid w:val="00D9028C"/>
    <w:rsid w:val="00DA61E8"/>
    <w:rsid w:val="00DB4BF1"/>
    <w:rsid w:val="00DD6F86"/>
    <w:rsid w:val="00E634AE"/>
    <w:rsid w:val="00E9619D"/>
    <w:rsid w:val="00FC1B2A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1839BEE"/>
  <w15:chartTrackingRefBased/>
  <w15:docId w15:val="{4918131E-E965-49B4-9F10-92E5DC30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7C5"/>
    <w:pPr>
      <w:widowControl w:val="0"/>
      <w:autoSpaceDE w:val="0"/>
      <w:autoSpaceDN w:val="0"/>
    </w:pPr>
    <w:rPr>
      <w:rFonts w:ascii="New Aster LT Std" w:eastAsia="New Aster LT Std" w:hAnsi="New Aster LT Std" w:cs="New Aster LT Std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667C5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rcolare01">
    <w:name w:val="circolare01"/>
    <w:basedOn w:val="NormaleWeb"/>
    <w:link w:val="circolare01Carattere"/>
    <w:qFormat/>
    <w:rsid w:val="00096842"/>
    <w:pPr>
      <w:numPr>
        <w:numId w:val="2"/>
      </w:numPr>
      <w:pBdr>
        <w:bottom w:val="single" w:sz="4" w:space="1" w:color="auto"/>
      </w:pBdr>
      <w:shd w:val="clear" w:color="auto" w:fill="FFFFFF"/>
      <w:ind w:left="360" w:hanging="360"/>
      <w:jc w:val="both"/>
    </w:pPr>
    <w:rPr>
      <w:rFonts w:ascii="Trebuchet MS" w:eastAsia="Times New Roman" w:hAnsi="Trebuchet MS" w:cs="Arial"/>
      <w:sz w:val="28"/>
      <w:szCs w:val="28"/>
      <w:lang w:eastAsia="it-IT"/>
    </w:rPr>
  </w:style>
  <w:style w:type="character" w:customStyle="1" w:styleId="circolare01Carattere">
    <w:name w:val="circolare01 Carattere"/>
    <w:link w:val="circolare01"/>
    <w:rsid w:val="00096842"/>
    <w:rPr>
      <w:rFonts w:ascii="Trebuchet MS" w:eastAsia="Times New Roman" w:hAnsi="Trebuchet MS" w:cs="Arial"/>
      <w:sz w:val="28"/>
      <w:szCs w:val="28"/>
      <w:shd w:val="clear" w:color="auto" w:fill="FFFFFF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6842"/>
    <w:rPr>
      <w:rFonts w:ascii="Times New Roman" w:hAnsi="Times New Roman" w:cs="Times New Roman"/>
      <w:sz w:val="24"/>
      <w:szCs w:val="24"/>
    </w:rPr>
  </w:style>
  <w:style w:type="paragraph" w:customStyle="1" w:styleId="circolare02">
    <w:name w:val="circolare02"/>
    <w:basedOn w:val="NormaleWeb"/>
    <w:link w:val="circolare02Carattere"/>
    <w:qFormat/>
    <w:rsid w:val="00096842"/>
    <w:pPr>
      <w:shd w:val="clear" w:color="auto" w:fill="FFFFFF"/>
      <w:spacing w:before="180"/>
      <w:jc w:val="both"/>
    </w:pPr>
    <w:rPr>
      <w:rFonts w:ascii="Arial" w:eastAsia="Times New Roman" w:hAnsi="Arial" w:cs="Arial"/>
      <w:lang w:eastAsia="it-IT"/>
    </w:rPr>
  </w:style>
  <w:style w:type="character" w:customStyle="1" w:styleId="circolare02Carattere">
    <w:name w:val="circolare02 Carattere"/>
    <w:link w:val="circolare02"/>
    <w:rsid w:val="00096842"/>
    <w:rPr>
      <w:rFonts w:ascii="Arial" w:eastAsia="Times New Roman" w:hAnsi="Arial" w:cs="Arial"/>
      <w:sz w:val="24"/>
      <w:szCs w:val="24"/>
      <w:shd w:val="clear" w:color="auto" w:fill="FFFFFF"/>
      <w:lang w:eastAsia="it-IT"/>
    </w:rPr>
  </w:style>
  <w:style w:type="paragraph" w:customStyle="1" w:styleId="SPA02">
    <w:name w:val="SPA02"/>
    <w:basedOn w:val="Normale"/>
    <w:link w:val="SPA02Carattere"/>
    <w:qFormat/>
    <w:rsid w:val="00E9619D"/>
    <w:pPr>
      <w:jc w:val="both"/>
    </w:pPr>
    <w:rPr>
      <w:rFonts w:ascii="Arial" w:hAnsi="Arial" w:cs="Arial"/>
      <w:sz w:val="24"/>
      <w:szCs w:val="24"/>
    </w:rPr>
  </w:style>
  <w:style w:type="character" w:customStyle="1" w:styleId="SPA02Carattere">
    <w:name w:val="SPA02 Carattere"/>
    <w:link w:val="SPA02"/>
    <w:rsid w:val="00E9619D"/>
    <w:rPr>
      <w:rFonts w:ascii="Arial" w:hAnsi="Arial" w:cs="Arial"/>
      <w:sz w:val="24"/>
      <w:szCs w:val="24"/>
    </w:rPr>
  </w:style>
  <w:style w:type="paragraph" w:customStyle="1" w:styleId="SPA01">
    <w:name w:val="SPA01"/>
    <w:basedOn w:val="Nessunaspaziatura"/>
    <w:link w:val="SPA01Carattere"/>
    <w:qFormat/>
    <w:rsid w:val="00E9619D"/>
    <w:pPr>
      <w:numPr>
        <w:numId w:val="4"/>
      </w:numPr>
      <w:pBdr>
        <w:bottom w:val="double" w:sz="4" w:space="3" w:color="auto"/>
      </w:pBdr>
      <w:ind w:left="357" w:hanging="357"/>
      <w:jc w:val="both"/>
    </w:pPr>
    <w:rPr>
      <w:rFonts w:ascii="Trebuchet MS" w:hAnsi="Trebuchet MS"/>
      <w:sz w:val="28"/>
      <w:szCs w:val="28"/>
    </w:rPr>
  </w:style>
  <w:style w:type="character" w:customStyle="1" w:styleId="SPA01Carattere">
    <w:name w:val="SPA01 Carattere"/>
    <w:link w:val="SPA01"/>
    <w:rsid w:val="00E9619D"/>
    <w:rPr>
      <w:rFonts w:ascii="Trebuchet MS" w:hAnsi="Trebuchet MS"/>
      <w:sz w:val="28"/>
      <w:szCs w:val="28"/>
    </w:rPr>
  </w:style>
  <w:style w:type="paragraph" w:styleId="Nessunaspaziatura">
    <w:name w:val="No Spacing"/>
    <w:uiPriority w:val="1"/>
    <w:qFormat/>
    <w:rsid w:val="00E9619D"/>
    <w:rPr>
      <w:sz w:val="22"/>
      <w:szCs w:val="22"/>
      <w:lang w:eastAsia="en-US"/>
    </w:rPr>
  </w:style>
  <w:style w:type="paragraph" w:customStyle="1" w:styleId="circolaredemo">
    <w:name w:val="circolare_demo"/>
    <w:basedOn w:val="Nessunaspaziatura"/>
    <w:link w:val="circolaredemoCarattere"/>
    <w:autoRedefine/>
    <w:qFormat/>
    <w:rsid w:val="007D5642"/>
    <w:pPr>
      <w:numPr>
        <w:numId w:val="6"/>
      </w:numPr>
      <w:pBdr>
        <w:bottom w:val="double" w:sz="4" w:space="3" w:color="auto"/>
      </w:pBdr>
      <w:suppressAutoHyphens/>
      <w:jc w:val="both"/>
    </w:pPr>
    <w:rPr>
      <w:rFonts w:ascii="Trebuchet MS" w:hAnsi="Trebuchet MS"/>
      <w:sz w:val="28"/>
      <w:szCs w:val="28"/>
    </w:rPr>
  </w:style>
  <w:style w:type="character" w:customStyle="1" w:styleId="circolaredemoCarattere">
    <w:name w:val="circolare_demo Carattere"/>
    <w:link w:val="circolaredemo"/>
    <w:rsid w:val="007D5642"/>
    <w:rPr>
      <w:rFonts w:ascii="Trebuchet MS" w:hAnsi="Trebuchet MS"/>
      <w:sz w:val="28"/>
      <w:szCs w:val="28"/>
    </w:rPr>
  </w:style>
  <w:style w:type="paragraph" w:customStyle="1" w:styleId="Rassegna">
    <w:name w:val="Rassegna"/>
    <w:basedOn w:val="NormaleWeb"/>
    <w:link w:val="RassegnaCarattere"/>
    <w:autoRedefine/>
    <w:qFormat/>
    <w:rsid w:val="00130D03"/>
    <w:pPr>
      <w:shd w:val="clear" w:color="auto" w:fill="EDEDED"/>
      <w:jc w:val="both"/>
    </w:pPr>
    <w:rPr>
      <w:rFonts w:ascii="Trebuchet MS" w:eastAsia="Times New Roman" w:hAnsi="Trebuchet MS" w:cs="Arial"/>
      <w:b/>
      <w:bCs/>
      <w:sz w:val="28"/>
      <w:szCs w:val="28"/>
      <w:lang w:eastAsia="it-IT"/>
    </w:rPr>
  </w:style>
  <w:style w:type="character" w:customStyle="1" w:styleId="RassegnaCarattere">
    <w:name w:val="Rassegna Carattere"/>
    <w:link w:val="Rassegna"/>
    <w:rsid w:val="00130D03"/>
    <w:rPr>
      <w:rFonts w:ascii="Trebuchet MS" w:eastAsia="Times New Roman" w:hAnsi="Trebuchet MS" w:cs="Arial"/>
      <w:b/>
      <w:bCs/>
      <w:sz w:val="28"/>
      <w:szCs w:val="28"/>
      <w:shd w:val="clear" w:color="auto" w:fill="EDEDED"/>
      <w:lang w:eastAsia="it-IT"/>
    </w:rPr>
  </w:style>
  <w:style w:type="paragraph" w:customStyle="1" w:styleId="Testocircolare">
    <w:name w:val="Testo_circolare"/>
    <w:basedOn w:val="NormaleWeb"/>
    <w:link w:val="TestocircolareCarattere"/>
    <w:autoRedefine/>
    <w:qFormat/>
    <w:rsid w:val="00130D03"/>
    <w:pPr>
      <w:shd w:val="clear" w:color="auto" w:fill="FFFFFF"/>
    </w:pPr>
    <w:rPr>
      <w:rFonts w:ascii="Arial" w:eastAsia="Times New Roman" w:hAnsi="Arial" w:cs="Arial"/>
      <w:lang w:eastAsia="it-IT"/>
    </w:rPr>
  </w:style>
  <w:style w:type="character" w:customStyle="1" w:styleId="TestocircolareCarattere">
    <w:name w:val="Testo_circolare Carattere"/>
    <w:link w:val="Testocircolare"/>
    <w:rsid w:val="00130D03"/>
    <w:rPr>
      <w:rFonts w:ascii="Arial" w:eastAsia="Times New Roman" w:hAnsi="Arial" w:cs="Arial"/>
      <w:sz w:val="24"/>
      <w:szCs w:val="24"/>
      <w:shd w:val="clear" w:color="auto" w:fill="FFFFFF"/>
      <w:lang w:eastAsia="it-IT"/>
    </w:rPr>
  </w:style>
  <w:style w:type="character" w:customStyle="1" w:styleId="Titolo1Carattere">
    <w:name w:val="Titolo 1 Carattere"/>
    <w:link w:val="Titolo1"/>
    <w:uiPriority w:val="9"/>
    <w:rsid w:val="007667C5"/>
    <w:rPr>
      <w:rFonts w:ascii="New Aster LT Std" w:eastAsia="New Aster LT Std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667C5"/>
    <w:rPr>
      <w:sz w:val="19"/>
      <w:szCs w:val="19"/>
    </w:rPr>
  </w:style>
  <w:style w:type="character" w:customStyle="1" w:styleId="CorpotestoCarattere">
    <w:name w:val="Corpo testo Carattere"/>
    <w:link w:val="Corpotesto"/>
    <w:uiPriority w:val="1"/>
    <w:rsid w:val="007667C5"/>
    <w:rPr>
      <w:rFonts w:ascii="New Aster LT Std" w:eastAsia="New Aster LT Std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667C5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C830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309F"/>
    <w:rPr>
      <w:rFonts w:ascii="New Aster LT Std" w:eastAsia="New Aster LT Std" w:hAnsi="New Aster LT Std" w:cs="New Aster LT Std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830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309F"/>
    <w:rPr>
      <w:rFonts w:ascii="New Aster LT Std" w:eastAsia="New Aster LT Std" w:hAnsi="New Aster LT Std" w:cs="New Aster LT St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Muccioli Stefano</dc:creator>
  <cp:keywords/>
  <dc:description/>
  <cp:lastModifiedBy>Ufficio Economato 2</cp:lastModifiedBy>
  <cp:revision>2</cp:revision>
  <dcterms:created xsi:type="dcterms:W3CDTF">2025-07-15T12:02:00Z</dcterms:created>
  <dcterms:modified xsi:type="dcterms:W3CDTF">2025-07-15T12:02:00Z</dcterms:modified>
</cp:coreProperties>
</file>